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F4" w:rsidRDefault="002F7361">
      <w:pPr>
        <w:rPr>
          <w:b/>
          <w:sz w:val="28"/>
        </w:rPr>
      </w:pPr>
      <w:r w:rsidRPr="002F7361">
        <w:rPr>
          <w:b/>
          <w:sz w:val="28"/>
        </w:rPr>
        <w:t xml:space="preserve">KHIDI-KASBP Regulatory Affair Workshop </w:t>
      </w:r>
      <w:r w:rsidR="00581CF4" w:rsidRPr="002F7361">
        <w:rPr>
          <w:b/>
          <w:sz w:val="28"/>
        </w:rPr>
        <w:t>Draft Agenda</w:t>
      </w:r>
    </w:p>
    <w:p w:rsidR="002F7361" w:rsidRDefault="0097780B">
      <w:pPr>
        <w:rPr>
          <w:b/>
          <w:sz w:val="28"/>
        </w:rPr>
      </w:pPr>
      <w:r>
        <w:rPr>
          <w:b/>
          <w:sz w:val="28"/>
        </w:rPr>
        <w:t>Seoul, Korea</w:t>
      </w:r>
    </w:p>
    <w:p w:rsidR="0097780B" w:rsidRPr="002F7361" w:rsidRDefault="0097780B">
      <w:pPr>
        <w:rPr>
          <w:b/>
          <w:sz w:val="28"/>
        </w:rPr>
      </w:pPr>
      <w:r>
        <w:rPr>
          <w:b/>
          <w:sz w:val="28"/>
        </w:rPr>
        <w:t>August 2019 (TBD)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34"/>
        <w:gridCol w:w="3206"/>
        <w:gridCol w:w="4405"/>
      </w:tblGrid>
      <w:tr w:rsidR="00581CF4" w:rsidTr="00D8797A">
        <w:tc>
          <w:tcPr>
            <w:tcW w:w="805" w:type="dxa"/>
          </w:tcPr>
          <w:p w:rsidR="00581CF4" w:rsidRDefault="00581CF4">
            <w:r>
              <w:t>Time</w:t>
            </w:r>
          </w:p>
        </w:tc>
        <w:tc>
          <w:tcPr>
            <w:tcW w:w="934" w:type="dxa"/>
          </w:tcPr>
          <w:p w:rsidR="00581CF4" w:rsidRDefault="00581CF4">
            <w:r>
              <w:t>Speaker</w:t>
            </w:r>
          </w:p>
        </w:tc>
        <w:tc>
          <w:tcPr>
            <w:tcW w:w="3206" w:type="dxa"/>
          </w:tcPr>
          <w:p w:rsidR="00581CF4" w:rsidRDefault="0092295E" w:rsidP="0092295E">
            <w:r>
              <w:t xml:space="preserve">Topic </w:t>
            </w:r>
          </w:p>
        </w:tc>
        <w:tc>
          <w:tcPr>
            <w:tcW w:w="4405" w:type="dxa"/>
          </w:tcPr>
          <w:p w:rsidR="00581CF4" w:rsidRDefault="00D8797A" w:rsidP="00581CF4">
            <w:r>
              <w:t xml:space="preserve">Discussion </w:t>
            </w:r>
            <w:r w:rsidR="00581CF4">
              <w:t>Description</w:t>
            </w:r>
          </w:p>
        </w:tc>
      </w:tr>
      <w:tr w:rsidR="00581CF4" w:rsidTr="00D8797A">
        <w:tc>
          <w:tcPr>
            <w:tcW w:w="805" w:type="dxa"/>
          </w:tcPr>
          <w:p w:rsidR="00581CF4" w:rsidRDefault="00581CF4" w:rsidP="00581CF4">
            <w:r>
              <w:t>9 am</w:t>
            </w:r>
          </w:p>
        </w:tc>
        <w:tc>
          <w:tcPr>
            <w:tcW w:w="934" w:type="dxa"/>
          </w:tcPr>
          <w:p w:rsidR="00581CF4" w:rsidRDefault="00581CF4" w:rsidP="00581CF4"/>
        </w:tc>
        <w:tc>
          <w:tcPr>
            <w:tcW w:w="3206" w:type="dxa"/>
          </w:tcPr>
          <w:p w:rsidR="00581CF4" w:rsidRDefault="00581CF4" w:rsidP="00581CF4">
            <w:r>
              <w:t xml:space="preserve">FDA overview </w:t>
            </w:r>
          </w:p>
        </w:tc>
        <w:tc>
          <w:tcPr>
            <w:tcW w:w="4405" w:type="dxa"/>
          </w:tcPr>
          <w:p w:rsidR="00581CF4" w:rsidRDefault="0092295E" w:rsidP="00B0736A">
            <w:r>
              <w:t xml:space="preserve">Overview of overall FDA structure. Review of </w:t>
            </w:r>
            <w:r w:rsidR="00B0736A">
              <w:t xml:space="preserve">a </w:t>
            </w:r>
            <w:r>
              <w:t>review division as an example.</w:t>
            </w:r>
            <w:r w:rsidR="00B0736A">
              <w:t xml:space="preserve"> Typical FDA team members for assigned programs.</w:t>
            </w:r>
          </w:p>
        </w:tc>
      </w:tr>
      <w:tr w:rsidR="00581CF4" w:rsidTr="00D8797A">
        <w:tc>
          <w:tcPr>
            <w:tcW w:w="805" w:type="dxa"/>
          </w:tcPr>
          <w:p w:rsidR="00581CF4" w:rsidRDefault="00581CF4" w:rsidP="00581CF4">
            <w:r>
              <w:t>10 am</w:t>
            </w:r>
          </w:p>
        </w:tc>
        <w:tc>
          <w:tcPr>
            <w:tcW w:w="934" w:type="dxa"/>
          </w:tcPr>
          <w:p w:rsidR="00581CF4" w:rsidRDefault="00581CF4" w:rsidP="00581CF4"/>
        </w:tc>
        <w:tc>
          <w:tcPr>
            <w:tcW w:w="3206" w:type="dxa"/>
          </w:tcPr>
          <w:p w:rsidR="00581CF4" w:rsidRDefault="00D8797A" w:rsidP="00581CF4">
            <w:r>
              <w:t>eCTD submission</w:t>
            </w:r>
          </w:p>
        </w:tc>
        <w:tc>
          <w:tcPr>
            <w:tcW w:w="4405" w:type="dxa"/>
          </w:tcPr>
          <w:p w:rsidR="00581CF4" w:rsidRDefault="0092295E" w:rsidP="00B0736A">
            <w:r>
              <w:t>The format requirements for</w:t>
            </w:r>
            <w:r w:rsidR="00AD367C">
              <w:t xml:space="preserve"> an </w:t>
            </w:r>
            <w:r>
              <w:t>actual submission</w:t>
            </w:r>
            <w:r w:rsidR="00AD367C">
              <w:t xml:space="preserve"> to FDA</w:t>
            </w:r>
            <w:r w:rsidR="00B0736A">
              <w:t xml:space="preserve">; </w:t>
            </w:r>
            <w:r w:rsidR="00D8797A">
              <w:t>specifications and structure.</w:t>
            </w:r>
          </w:p>
        </w:tc>
      </w:tr>
      <w:tr w:rsidR="00581CF4" w:rsidTr="00D8797A">
        <w:tc>
          <w:tcPr>
            <w:tcW w:w="805" w:type="dxa"/>
          </w:tcPr>
          <w:p w:rsidR="00581CF4" w:rsidRDefault="00581CF4" w:rsidP="00581CF4">
            <w:r>
              <w:t>11 am</w:t>
            </w:r>
          </w:p>
        </w:tc>
        <w:tc>
          <w:tcPr>
            <w:tcW w:w="934" w:type="dxa"/>
          </w:tcPr>
          <w:p w:rsidR="00581CF4" w:rsidRDefault="00581CF4" w:rsidP="0092295E"/>
        </w:tc>
        <w:tc>
          <w:tcPr>
            <w:tcW w:w="3206" w:type="dxa"/>
          </w:tcPr>
          <w:p w:rsidR="00581CF4" w:rsidRDefault="00581CF4" w:rsidP="00581CF4">
            <w:r>
              <w:t>networking</w:t>
            </w:r>
          </w:p>
        </w:tc>
        <w:tc>
          <w:tcPr>
            <w:tcW w:w="4405" w:type="dxa"/>
          </w:tcPr>
          <w:p w:rsidR="00581CF4" w:rsidRDefault="00D8797A" w:rsidP="00D8797A">
            <w:r>
              <w:t>Attendees should meet each other</w:t>
            </w:r>
            <w:r w:rsidR="00B0736A">
              <w:t xml:space="preserve"> in a networking session.</w:t>
            </w:r>
            <w:r>
              <w:t xml:space="preserve"> </w:t>
            </w:r>
          </w:p>
        </w:tc>
      </w:tr>
      <w:tr w:rsidR="00581CF4" w:rsidTr="00D8797A">
        <w:tc>
          <w:tcPr>
            <w:tcW w:w="805" w:type="dxa"/>
          </w:tcPr>
          <w:p w:rsidR="00581CF4" w:rsidRDefault="00581CF4" w:rsidP="00581CF4">
            <w:r>
              <w:t>Noon</w:t>
            </w:r>
          </w:p>
        </w:tc>
        <w:tc>
          <w:tcPr>
            <w:tcW w:w="934" w:type="dxa"/>
          </w:tcPr>
          <w:p w:rsidR="00581CF4" w:rsidRDefault="0092295E" w:rsidP="00581CF4">
            <w:r>
              <w:t xml:space="preserve">All </w:t>
            </w:r>
          </w:p>
        </w:tc>
        <w:tc>
          <w:tcPr>
            <w:tcW w:w="3206" w:type="dxa"/>
          </w:tcPr>
          <w:p w:rsidR="00581CF4" w:rsidRDefault="0092295E" w:rsidP="00581CF4">
            <w:r>
              <w:t>lunch</w:t>
            </w:r>
          </w:p>
        </w:tc>
        <w:tc>
          <w:tcPr>
            <w:tcW w:w="4405" w:type="dxa"/>
          </w:tcPr>
          <w:p w:rsidR="00581CF4" w:rsidRDefault="00D8797A" w:rsidP="00581CF4">
            <w:r>
              <w:t>Sustenance break.</w:t>
            </w:r>
          </w:p>
        </w:tc>
      </w:tr>
      <w:tr w:rsidR="00581CF4" w:rsidTr="00D8797A">
        <w:tc>
          <w:tcPr>
            <w:tcW w:w="805" w:type="dxa"/>
          </w:tcPr>
          <w:p w:rsidR="00581CF4" w:rsidRDefault="00581CF4" w:rsidP="00581CF4">
            <w:r>
              <w:t xml:space="preserve">1 pm </w:t>
            </w:r>
          </w:p>
        </w:tc>
        <w:tc>
          <w:tcPr>
            <w:tcW w:w="934" w:type="dxa"/>
          </w:tcPr>
          <w:p w:rsidR="00581CF4" w:rsidRDefault="00581CF4" w:rsidP="00581CF4"/>
        </w:tc>
        <w:tc>
          <w:tcPr>
            <w:tcW w:w="3206" w:type="dxa"/>
          </w:tcPr>
          <w:p w:rsidR="00581CF4" w:rsidRDefault="00EC4A43" w:rsidP="00581CF4">
            <w:proofErr w:type="spellStart"/>
            <w:r>
              <w:t>preIND</w:t>
            </w:r>
            <w:proofErr w:type="spellEnd"/>
            <w:r>
              <w:t>/IND success</w:t>
            </w:r>
          </w:p>
        </w:tc>
        <w:tc>
          <w:tcPr>
            <w:tcW w:w="4405" w:type="dxa"/>
          </w:tcPr>
          <w:p w:rsidR="00D8797A" w:rsidRDefault="00EC4A43" w:rsidP="00581CF4">
            <w:r>
              <w:t xml:space="preserve">The components that are required for a successful </w:t>
            </w:r>
            <w:proofErr w:type="spellStart"/>
            <w:r>
              <w:t>preIND</w:t>
            </w:r>
            <w:proofErr w:type="spellEnd"/>
            <w:r>
              <w:t>/IND will be discussed.</w:t>
            </w:r>
          </w:p>
          <w:p w:rsidR="00D8797A" w:rsidRDefault="00EC4A43" w:rsidP="00581CF4">
            <w:r>
              <w:t>For example:</w:t>
            </w:r>
            <w:r w:rsidR="00D8797A">
              <w:t xml:space="preserve"> </w:t>
            </w:r>
          </w:p>
          <w:p w:rsidR="00D8797A" w:rsidRDefault="00D8797A" w:rsidP="00581CF4">
            <w:r>
              <w:t>- strategy / goals</w:t>
            </w:r>
          </w:p>
          <w:p w:rsidR="00D8797A" w:rsidRDefault="00D8797A" w:rsidP="00581CF4">
            <w:r>
              <w:t xml:space="preserve">- timelines / planning </w:t>
            </w:r>
          </w:p>
          <w:p w:rsidR="00D8797A" w:rsidRDefault="00D8797A" w:rsidP="00581CF4">
            <w:r>
              <w:t xml:space="preserve">- team roles and meeting practice </w:t>
            </w:r>
          </w:p>
          <w:p w:rsidR="00581CF4" w:rsidRDefault="00D8797A" w:rsidP="00D8797A">
            <w:r>
              <w:t>-</w:t>
            </w:r>
            <w:r w:rsidR="00EC4A43">
              <w:t xml:space="preserve"> medical writer</w:t>
            </w:r>
            <w:r>
              <w:t xml:space="preserve"> input to documents and briefing package </w:t>
            </w:r>
          </w:p>
          <w:p w:rsidR="00D8797A" w:rsidRDefault="00D8797A" w:rsidP="00D8797A">
            <w:r>
              <w:t>- maintenance of the IND</w:t>
            </w:r>
          </w:p>
        </w:tc>
      </w:tr>
      <w:tr w:rsidR="00581CF4" w:rsidTr="00D8797A">
        <w:tc>
          <w:tcPr>
            <w:tcW w:w="805" w:type="dxa"/>
          </w:tcPr>
          <w:p w:rsidR="00581CF4" w:rsidRDefault="00581CF4" w:rsidP="00581CF4">
            <w:r>
              <w:t xml:space="preserve">2 pm </w:t>
            </w:r>
          </w:p>
        </w:tc>
        <w:tc>
          <w:tcPr>
            <w:tcW w:w="934" w:type="dxa"/>
          </w:tcPr>
          <w:p w:rsidR="00581CF4" w:rsidRDefault="00581CF4" w:rsidP="00581CF4"/>
        </w:tc>
        <w:tc>
          <w:tcPr>
            <w:tcW w:w="3206" w:type="dxa"/>
          </w:tcPr>
          <w:p w:rsidR="00581CF4" w:rsidRDefault="0092295E" w:rsidP="00EC4A43">
            <w:proofErr w:type="spellStart"/>
            <w:r>
              <w:t>preIND</w:t>
            </w:r>
            <w:proofErr w:type="spellEnd"/>
            <w:r w:rsidR="00D8797A">
              <w:t xml:space="preserve"> “how to” including content</w:t>
            </w:r>
          </w:p>
        </w:tc>
        <w:tc>
          <w:tcPr>
            <w:tcW w:w="4405" w:type="dxa"/>
          </w:tcPr>
          <w:p w:rsidR="00D8797A" w:rsidRDefault="00D8797A" w:rsidP="00581CF4">
            <w:r>
              <w:t xml:space="preserve">A to Z on what and how to request and complete a </w:t>
            </w:r>
            <w:proofErr w:type="spellStart"/>
            <w:r>
              <w:t>preIND</w:t>
            </w:r>
            <w:proofErr w:type="spellEnd"/>
            <w:r>
              <w:t xml:space="preserve"> meeting.  </w:t>
            </w:r>
          </w:p>
        </w:tc>
      </w:tr>
      <w:tr w:rsidR="0092295E" w:rsidTr="00D8797A">
        <w:tc>
          <w:tcPr>
            <w:tcW w:w="805" w:type="dxa"/>
          </w:tcPr>
          <w:p w:rsidR="0092295E" w:rsidRDefault="0092295E" w:rsidP="0092295E">
            <w:r>
              <w:t xml:space="preserve">3 pm </w:t>
            </w:r>
          </w:p>
        </w:tc>
        <w:tc>
          <w:tcPr>
            <w:tcW w:w="934" w:type="dxa"/>
          </w:tcPr>
          <w:p w:rsidR="0092295E" w:rsidRDefault="0092295E" w:rsidP="0092295E"/>
        </w:tc>
        <w:tc>
          <w:tcPr>
            <w:tcW w:w="3206" w:type="dxa"/>
          </w:tcPr>
          <w:p w:rsidR="0092295E" w:rsidRDefault="0092295E" w:rsidP="0092295E">
            <w:r>
              <w:t>IND overview and M1, M2, M5</w:t>
            </w:r>
          </w:p>
        </w:tc>
        <w:tc>
          <w:tcPr>
            <w:tcW w:w="4405" w:type="dxa"/>
          </w:tcPr>
          <w:p w:rsidR="0092295E" w:rsidRDefault="00D8797A" w:rsidP="0092295E">
            <w:r>
              <w:t xml:space="preserve">Overall review of an IND. </w:t>
            </w:r>
          </w:p>
          <w:p w:rsidR="00D8797A" w:rsidRDefault="00D8797A" w:rsidP="0092295E"/>
        </w:tc>
      </w:tr>
      <w:tr w:rsidR="0092295E" w:rsidTr="00D8797A">
        <w:tc>
          <w:tcPr>
            <w:tcW w:w="805" w:type="dxa"/>
          </w:tcPr>
          <w:p w:rsidR="0092295E" w:rsidRDefault="0092295E" w:rsidP="0092295E">
            <w:r>
              <w:t xml:space="preserve">4 pm </w:t>
            </w:r>
          </w:p>
        </w:tc>
        <w:tc>
          <w:tcPr>
            <w:tcW w:w="934" w:type="dxa"/>
          </w:tcPr>
          <w:p w:rsidR="0092295E" w:rsidRDefault="0092295E" w:rsidP="0092295E"/>
        </w:tc>
        <w:tc>
          <w:tcPr>
            <w:tcW w:w="3206" w:type="dxa"/>
          </w:tcPr>
          <w:p w:rsidR="0092295E" w:rsidRDefault="0092295E" w:rsidP="0092295E">
            <w:r>
              <w:t>M3</w:t>
            </w:r>
            <w:r w:rsidR="00EC4A43">
              <w:t xml:space="preserve"> CMC</w:t>
            </w:r>
            <w:r w:rsidR="00D8797A">
              <w:t xml:space="preserve"> detailed content review</w:t>
            </w:r>
          </w:p>
        </w:tc>
        <w:tc>
          <w:tcPr>
            <w:tcW w:w="4405" w:type="dxa"/>
          </w:tcPr>
          <w:p w:rsidR="0092295E" w:rsidRDefault="00D8797A" w:rsidP="0092295E">
            <w:r>
              <w:t>CMC content</w:t>
            </w:r>
          </w:p>
        </w:tc>
      </w:tr>
      <w:tr w:rsidR="0092295E" w:rsidTr="00D8797A">
        <w:trPr>
          <w:trHeight w:val="188"/>
        </w:trPr>
        <w:tc>
          <w:tcPr>
            <w:tcW w:w="805" w:type="dxa"/>
          </w:tcPr>
          <w:p w:rsidR="0092295E" w:rsidRDefault="0092295E" w:rsidP="0092295E">
            <w:r>
              <w:t xml:space="preserve">5 pm </w:t>
            </w:r>
          </w:p>
        </w:tc>
        <w:tc>
          <w:tcPr>
            <w:tcW w:w="934" w:type="dxa"/>
          </w:tcPr>
          <w:p w:rsidR="0092295E" w:rsidRDefault="0092295E" w:rsidP="0092295E"/>
        </w:tc>
        <w:tc>
          <w:tcPr>
            <w:tcW w:w="3206" w:type="dxa"/>
          </w:tcPr>
          <w:p w:rsidR="0092295E" w:rsidRDefault="0092295E" w:rsidP="0092295E">
            <w:r>
              <w:t>M4</w:t>
            </w:r>
            <w:r w:rsidR="00EC4A43">
              <w:t xml:space="preserve"> Pharm/</w:t>
            </w:r>
            <w:proofErr w:type="spellStart"/>
            <w:r w:rsidR="00EC4A43">
              <w:t>Tox</w:t>
            </w:r>
            <w:proofErr w:type="spellEnd"/>
            <w:r w:rsidR="00D8797A">
              <w:t xml:space="preserve"> detailed content review </w:t>
            </w:r>
          </w:p>
        </w:tc>
        <w:tc>
          <w:tcPr>
            <w:tcW w:w="4405" w:type="dxa"/>
          </w:tcPr>
          <w:p w:rsidR="0092295E" w:rsidRDefault="00D8797A" w:rsidP="0092295E">
            <w:r>
              <w:t>Nonclinical content</w:t>
            </w:r>
          </w:p>
        </w:tc>
      </w:tr>
      <w:tr w:rsidR="00BE2A27" w:rsidTr="00D8797A">
        <w:trPr>
          <w:trHeight w:val="188"/>
        </w:trPr>
        <w:tc>
          <w:tcPr>
            <w:tcW w:w="805" w:type="dxa"/>
          </w:tcPr>
          <w:p w:rsidR="00BE2A27" w:rsidRDefault="00BE2A27" w:rsidP="0092295E">
            <w:r>
              <w:t xml:space="preserve">6 pm </w:t>
            </w:r>
          </w:p>
        </w:tc>
        <w:tc>
          <w:tcPr>
            <w:tcW w:w="934" w:type="dxa"/>
          </w:tcPr>
          <w:p w:rsidR="00BE2A27" w:rsidRDefault="00BE2A27" w:rsidP="0092295E"/>
        </w:tc>
        <w:tc>
          <w:tcPr>
            <w:tcW w:w="3206" w:type="dxa"/>
          </w:tcPr>
          <w:p w:rsidR="00BE2A27" w:rsidRDefault="00BE2A27" w:rsidP="0092295E"/>
        </w:tc>
        <w:tc>
          <w:tcPr>
            <w:tcW w:w="4405" w:type="dxa"/>
          </w:tcPr>
          <w:p w:rsidR="00BE2A27" w:rsidRDefault="00BE2A27" w:rsidP="00BE2A27">
            <w:r>
              <w:t xml:space="preserve">M1 = administrative documents such as forms, investigator’s brochure, labeling  </w:t>
            </w:r>
          </w:p>
          <w:p w:rsidR="00BE2A27" w:rsidRDefault="00BE2A27" w:rsidP="00BE2A27">
            <w:r>
              <w:t>M2 = summary documents</w:t>
            </w:r>
          </w:p>
          <w:p w:rsidR="00BE2A27" w:rsidRDefault="00BE2A27" w:rsidP="00BE2A27">
            <w:r>
              <w:t>M5 = clinical protocol (s)</w:t>
            </w:r>
          </w:p>
        </w:tc>
      </w:tr>
      <w:tr w:rsidR="002F7361" w:rsidTr="00D8797A">
        <w:trPr>
          <w:trHeight w:val="188"/>
        </w:trPr>
        <w:tc>
          <w:tcPr>
            <w:tcW w:w="805" w:type="dxa"/>
          </w:tcPr>
          <w:p w:rsidR="002F7361" w:rsidRDefault="002F7361" w:rsidP="0092295E">
            <w:r>
              <w:t>6-pm</w:t>
            </w:r>
          </w:p>
        </w:tc>
        <w:tc>
          <w:tcPr>
            <w:tcW w:w="934" w:type="dxa"/>
          </w:tcPr>
          <w:p w:rsidR="002F7361" w:rsidRDefault="002F7361" w:rsidP="0092295E"/>
        </w:tc>
        <w:tc>
          <w:tcPr>
            <w:tcW w:w="3206" w:type="dxa"/>
          </w:tcPr>
          <w:p w:rsidR="002F7361" w:rsidRDefault="002F7361" w:rsidP="0092295E">
            <w:r>
              <w:t>Q&amp;A</w:t>
            </w:r>
          </w:p>
        </w:tc>
        <w:tc>
          <w:tcPr>
            <w:tcW w:w="4405" w:type="dxa"/>
          </w:tcPr>
          <w:p w:rsidR="002F7361" w:rsidRDefault="002F7361" w:rsidP="00BE2A27"/>
        </w:tc>
      </w:tr>
    </w:tbl>
    <w:p w:rsidR="00581CF4" w:rsidRDefault="00581CF4"/>
    <w:p w:rsidR="00EC4A43" w:rsidRPr="002F7361" w:rsidRDefault="00EC4A43" w:rsidP="00EC4A43">
      <w:pPr>
        <w:rPr>
          <w:b/>
          <w:u w:val="single"/>
        </w:rPr>
      </w:pPr>
      <w:r w:rsidRPr="002F7361">
        <w:rPr>
          <w:b/>
          <w:u w:val="single"/>
        </w:rPr>
        <w:t>Speakers</w:t>
      </w:r>
      <w:r w:rsidR="002F7361" w:rsidRPr="002F7361">
        <w:rPr>
          <w:b/>
          <w:u w:val="single"/>
        </w:rPr>
        <w:t xml:space="preserve"> (Preliminary)</w:t>
      </w:r>
      <w:r w:rsidRPr="002F7361">
        <w:rPr>
          <w:b/>
          <w:u w:val="single"/>
        </w:rPr>
        <w:t xml:space="preserve">: </w:t>
      </w:r>
    </w:p>
    <w:p w:rsidR="00EC4A43" w:rsidRDefault="002F7361" w:rsidP="00EC4A43">
      <w:r>
        <w:t xml:space="preserve">Regulatory Affair: </w:t>
      </w:r>
      <w:r w:rsidR="00EC4A43">
        <w:t>Sandy Suh</w:t>
      </w:r>
      <w:r>
        <w:t xml:space="preserve">,  </w:t>
      </w:r>
      <w:proofErr w:type="spellStart"/>
      <w:r>
        <w:t>Exeltis</w:t>
      </w:r>
      <w:proofErr w:type="spellEnd"/>
      <w:r>
        <w:t xml:space="preserve"> R&amp;D, Head - Regulatory Affairs</w:t>
      </w:r>
    </w:p>
    <w:p w:rsidR="00EC4A43" w:rsidRDefault="002F7361" w:rsidP="00EC4A43">
      <w:r>
        <w:t xml:space="preserve">Regulatory Affair: </w:t>
      </w:r>
      <w:r w:rsidR="00EC4A43">
        <w:t>John Kim</w:t>
      </w:r>
      <w:r>
        <w:t>, Pierre Fabre, Vice President - QA and Regulatory Affairs</w:t>
      </w:r>
    </w:p>
    <w:p w:rsidR="00EC4A43" w:rsidRDefault="00EC4A43" w:rsidP="00EC4A43">
      <w:r>
        <w:t xml:space="preserve">M3 CMC: </w:t>
      </w:r>
      <w:r w:rsidR="002F7361">
        <w:t>Young Chun Jung,  Akebia Therapeutics, Director – Technical Operation</w:t>
      </w:r>
    </w:p>
    <w:p w:rsidR="00EC4A43" w:rsidRDefault="00EC4A43" w:rsidP="00EC4A43">
      <w:r>
        <w:t>M4 Pharm/</w:t>
      </w:r>
      <w:proofErr w:type="spellStart"/>
      <w:r>
        <w:t>Tox</w:t>
      </w:r>
      <w:proofErr w:type="spellEnd"/>
      <w:r>
        <w:t>: Sean</w:t>
      </w:r>
      <w:r w:rsidR="002F7361">
        <w:t xml:space="preserve"> Kim, Blueprint Medicines, Senior Director -Non-clinical Development</w:t>
      </w:r>
    </w:p>
    <w:sectPr w:rsidR="00EC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887"/>
    <w:multiLevelType w:val="hybridMultilevel"/>
    <w:tmpl w:val="078E1582"/>
    <w:lvl w:ilvl="0" w:tplc="BEE863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F4"/>
    <w:rsid w:val="002F7361"/>
    <w:rsid w:val="003F6F2C"/>
    <w:rsid w:val="00581CF4"/>
    <w:rsid w:val="0092295E"/>
    <w:rsid w:val="0097780B"/>
    <w:rsid w:val="00AD367C"/>
    <w:rsid w:val="00B0736A"/>
    <w:rsid w:val="00BE2A27"/>
    <w:rsid w:val="00D8797A"/>
    <w:rsid w:val="00EC4A43"/>
    <w:rsid w:val="00F00AE1"/>
    <w:rsid w:val="00F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E376"/>
  <w15:chartTrackingRefBased/>
  <w15:docId w15:val="{5D3CE21B-B41C-44F5-B303-E46B61B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ssuh</dc:creator>
  <cp:keywords/>
  <dc:description/>
  <cp:lastModifiedBy>Sean Kim</cp:lastModifiedBy>
  <cp:revision>3</cp:revision>
  <dcterms:created xsi:type="dcterms:W3CDTF">2019-02-08T16:22:00Z</dcterms:created>
  <dcterms:modified xsi:type="dcterms:W3CDTF">2019-02-17T20:45:00Z</dcterms:modified>
</cp:coreProperties>
</file>